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26" w:rsidRDefault="009A72B5" w:rsidP="009A72B5">
      <w:pPr>
        <w:jc w:val="center"/>
        <w:rPr>
          <w:b/>
          <w:szCs w:val="28"/>
        </w:rPr>
      </w:pPr>
      <w:bookmarkStart w:id="0" w:name="_GoBack"/>
      <w:bookmarkEnd w:id="0"/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</w:t>
      </w:r>
      <w:proofErr w:type="spellStart"/>
      <w:r w:rsidR="00522F26">
        <w:rPr>
          <w:b/>
          <w:szCs w:val="28"/>
        </w:rPr>
        <w:t>Роскомнадзора</w:t>
      </w:r>
      <w:proofErr w:type="spellEnd"/>
      <w:r w:rsidR="00522F26">
        <w:rPr>
          <w:b/>
          <w:szCs w:val="28"/>
        </w:rPr>
        <w:t xml:space="preserve">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>по противодействию коррупции за 2021 год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9A40E4" w:rsidP="00522F26">
      <w:pPr>
        <w:spacing w:line="288" w:lineRule="auto"/>
        <w:jc w:val="both"/>
        <w:rPr>
          <w:spacing w:val="-2"/>
          <w:szCs w:val="28"/>
        </w:rPr>
      </w:pPr>
      <w:r w:rsidRPr="00522F26">
        <w:rPr>
          <w:szCs w:val="28"/>
        </w:rPr>
        <w:t xml:space="preserve">В течение отчетного периода осуществляется деятельность </w:t>
      </w:r>
      <w:r w:rsidRPr="00522F26">
        <w:rPr>
          <w:spacing w:val="-2"/>
          <w:szCs w:val="28"/>
        </w:rPr>
        <w:t xml:space="preserve">по профилактике коррупционных и иных правонарушений   и </w:t>
      </w:r>
      <w:r w:rsidRPr="00522F26">
        <w:rPr>
          <w:szCs w:val="28"/>
        </w:rPr>
        <w:t>проведены следующие мероприятия: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Приказом  руководителя Управления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по Астраханской области от  27.10.2021 № 120 утвержден  План противодействия коррупции на 2021-2024 гг.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Сформирована и направлена в центральный аппарат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информация: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о практике применения упрощенного порядка привлечения должностных лиц к ответственности за совершение коррупционных правонарушений (применение взыскания с согласия лиц и при условии признания ими факта совершения коррупционного правонарушения)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мониторинг  хода реализации мероприятий по противодействию коррупции за 2020 год, за 1,2,3 кварталы 2021 года.</w:t>
      </w:r>
    </w:p>
    <w:p w:rsidR="009A40E4" w:rsidRPr="00522F26" w:rsidRDefault="009A40E4" w:rsidP="00522F26">
      <w:pPr>
        <w:spacing w:line="288" w:lineRule="auto"/>
        <w:rPr>
          <w:szCs w:val="28"/>
        </w:rPr>
      </w:pPr>
      <w:r w:rsidRPr="00522F26">
        <w:rPr>
          <w:szCs w:val="28"/>
        </w:rPr>
        <w:t xml:space="preserve">        -  о практике привлечения к ответственности государственных (муниципальных) служащих за несоблюдение </w:t>
      </w:r>
      <w:proofErr w:type="spellStart"/>
      <w:r w:rsidRPr="00522F26">
        <w:rPr>
          <w:szCs w:val="28"/>
        </w:rPr>
        <w:t>антикоррупционных</w:t>
      </w:r>
      <w:proofErr w:type="spellEnd"/>
      <w:r w:rsidRPr="00522F26">
        <w:rPr>
          <w:szCs w:val="28"/>
        </w:rPr>
        <w:t xml:space="preserve"> стандартов за 2019 – 2020 годы и истекший период 2021 года.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В ТУ по ЮФО направлен годовой отчет за 2020 год по оценки эффективности деятельности подразделений кадровых служб по профилактике коррупционных и иных правонарушений.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коррупционных правонарушений по теме «Организация работы по представлению сведений о доходах, расходах, об имуществе и обязательствах имущественного характера государственных служащих территориальных органов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в 2021 году.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Направлена в </w:t>
      </w:r>
      <w:proofErr w:type="spellStart"/>
      <w:r w:rsidRPr="00522F26">
        <w:rPr>
          <w:szCs w:val="28"/>
        </w:rPr>
        <w:t>Роскомнадзор</w:t>
      </w:r>
      <w:proofErr w:type="spellEnd"/>
      <w:r w:rsidRPr="00522F26">
        <w:rPr>
          <w:szCs w:val="28"/>
        </w:rPr>
        <w:t xml:space="preserve"> информация о должностных лицах в Управлении, ответственных  за работу по противодействию коррупции,  в том числе по сбору, анализу справок о доходах, расходах, об имуществе и обязательствах имущественного характера, представляемых государственными служащими и гражданами, претендующими на замещение вакантных должностей по установленной форме.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</w:t>
      </w:r>
      <w:r w:rsidRPr="00522F26">
        <w:rPr>
          <w:szCs w:val="28"/>
        </w:rPr>
        <w:lastRenderedPageBreak/>
        <w:t xml:space="preserve">формы справки в рамках декларационной кампании 2021 года проведена беседа с госслужащими, представляющими данные сведения. Справки БК представлены в новой версии </w:t>
      </w:r>
      <w:proofErr w:type="gramStart"/>
      <w:r w:rsidRPr="00522F26">
        <w:rPr>
          <w:szCs w:val="28"/>
        </w:rPr>
        <w:t>ПО</w:t>
      </w:r>
      <w:proofErr w:type="gramEnd"/>
      <w:r w:rsidRPr="00522F26">
        <w:rPr>
          <w:szCs w:val="28"/>
        </w:rPr>
        <w:t xml:space="preserve">.     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</w:t>
      </w:r>
      <w:proofErr w:type="gramStart"/>
      <w:r w:rsidRPr="00522F26">
        <w:rPr>
          <w:szCs w:val="28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2020  год руководителем Управления, заместителем руководителя Управления и  государственными</w:t>
      </w:r>
      <w:proofErr w:type="gramEnd"/>
      <w:r w:rsidRPr="00522F26">
        <w:rPr>
          <w:szCs w:val="28"/>
        </w:rPr>
        <w:t xml:space="preserve"> служащими Управления.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proofErr w:type="gramStart"/>
      <w:r w:rsidRPr="00522F26">
        <w:rPr>
          <w:szCs w:val="28"/>
        </w:rPr>
        <w:t>Справки БК, представленные госслужащими  размещены</w:t>
      </w:r>
      <w:proofErr w:type="gramEnd"/>
      <w:r w:rsidRPr="00522F26">
        <w:rPr>
          <w:szCs w:val="28"/>
        </w:rPr>
        <w:t xml:space="preserve"> в ЕИСУКС. Проведен анализ, представленных госслужащими Управления в рамках декларативной компании 2021  года, сведений о доходах, расходах, имуществе и обязательствах имущественного характера согласно Методическим указаниям, по результатам которого ошибок не выявлено. </w:t>
      </w:r>
    </w:p>
    <w:p w:rsidR="009A40E4" w:rsidRPr="00522F26" w:rsidRDefault="009A40E4" w:rsidP="00522F26">
      <w:pPr>
        <w:spacing w:line="288" w:lineRule="auto"/>
        <w:jc w:val="both"/>
        <w:rPr>
          <w:bCs/>
          <w:szCs w:val="28"/>
        </w:rPr>
      </w:pPr>
      <w:r w:rsidRPr="00522F26">
        <w:rPr>
          <w:szCs w:val="28"/>
        </w:rPr>
        <w:t xml:space="preserve">  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522F26">
        <w:rPr>
          <w:bCs/>
          <w:szCs w:val="28"/>
        </w:rPr>
        <w:t xml:space="preserve">За отчетный период по результатам </w:t>
      </w:r>
      <w:r w:rsidRPr="00522F26">
        <w:rPr>
          <w:szCs w:val="28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Подготовлен приказ о включении представителей в состав Комиссии по соблюдению требований к служебному поведению и урегулированию конфликта интересов.</w:t>
      </w:r>
    </w:p>
    <w:p w:rsidR="009A40E4" w:rsidRPr="00522F26" w:rsidRDefault="009A40E4" w:rsidP="00522F26">
      <w:pPr>
        <w:spacing w:line="288" w:lineRule="auto"/>
        <w:jc w:val="both"/>
        <w:rPr>
          <w:spacing w:val="-2"/>
          <w:szCs w:val="28"/>
        </w:rPr>
      </w:pPr>
      <w:r w:rsidRPr="00522F26">
        <w:rPr>
          <w:szCs w:val="28"/>
        </w:rPr>
        <w:t xml:space="preserve">          За отчетный период было проведено три </w:t>
      </w:r>
      <w:r w:rsidRPr="00522F26">
        <w:rPr>
          <w:spacing w:val="-2"/>
          <w:szCs w:val="28"/>
        </w:rPr>
        <w:t>заседания 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составлены протоколы.</w:t>
      </w:r>
    </w:p>
    <w:p w:rsidR="009A40E4" w:rsidRPr="00522F26" w:rsidRDefault="009A40E4" w:rsidP="00522F26">
      <w:pPr>
        <w:pStyle w:val="ac"/>
        <w:spacing w:line="288" w:lineRule="auto"/>
        <w:rPr>
          <w:color w:val="000000"/>
          <w:sz w:val="28"/>
          <w:szCs w:val="28"/>
        </w:rPr>
      </w:pPr>
      <w:r w:rsidRPr="00522F26">
        <w:rPr>
          <w:color w:val="000000"/>
          <w:sz w:val="28"/>
          <w:szCs w:val="28"/>
        </w:rPr>
        <w:t xml:space="preserve">         Основанием для проведения  заседаний комиссии послужили: </w:t>
      </w:r>
      <w:r w:rsidRPr="00522F26">
        <w:rPr>
          <w:sz w:val="28"/>
          <w:szCs w:val="28"/>
        </w:rPr>
        <w:t>представление секретаря Комиссии по анализу сведений о доходах, расходах, об имуществе и обязательствах имущественного характера (далее – Сведения о доходах)</w:t>
      </w:r>
      <w:r w:rsidRPr="00522F26">
        <w:rPr>
          <w:color w:val="000000"/>
          <w:sz w:val="28"/>
          <w:szCs w:val="28"/>
        </w:rPr>
        <w:t xml:space="preserve">  и поступившие уведомления от работодателей о заключении трудовых договоров с гражданами, замещавшими должности государственной гражданской службы в Управлении. </w:t>
      </w:r>
    </w:p>
    <w:p w:rsidR="009A40E4" w:rsidRPr="00522F26" w:rsidRDefault="009A40E4" w:rsidP="00522F26">
      <w:pPr>
        <w:tabs>
          <w:tab w:val="left" w:pos="993"/>
        </w:tabs>
        <w:spacing w:line="288" w:lineRule="auto"/>
        <w:contextualSpacing/>
        <w:jc w:val="both"/>
        <w:rPr>
          <w:szCs w:val="28"/>
        </w:rPr>
      </w:pPr>
      <w:r w:rsidRPr="00522F26">
        <w:rPr>
          <w:color w:val="000000"/>
          <w:szCs w:val="28"/>
        </w:rPr>
        <w:lastRenderedPageBreak/>
        <w:t xml:space="preserve">             Решения  Комиссии по результатам рассмотрения анализа сведений о доходах: а) </w:t>
      </w:r>
      <w:r w:rsidRPr="00522F26">
        <w:rPr>
          <w:szCs w:val="28"/>
        </w:rPr>
        <w:t>признать, что причины нарушений при заполнении  справок государственными гражданскими служащими</w:t>
      </w:r>
      <w:r w:rsidRPr="00522F26">
        <w:rPr>
          <w:color w:val="000000"/>
          <w:szCs w:val="28"/>
        </w:rPr>
        <w:t xml:space="preserve"> Н.И.М., Ш.И.В., Н.О.Е. </w:t>
      </w:r>
      <w:r w:rsidRPr="00522F26">
        <w:rPr>
          <w:szCs w:val="28"/>
        </w:rPr>
        <w:t>являются уважительными</w:t>
      </w:r>
      <w:r w:rsidRPr="00522F26">
        <w:rPr>
          <w:color w:val="000000"/>
          <w:szCs w:val="28"/>
        </w:rPr>
        <w:t>; б) п</w:t>
      </w:r>
      <w:r w:rsidRPr="00522F26">
        <w:rPr>
          <w:szCs w:val="28"/>
        </w:rPr>
        <w:t>ризнать причины нарушений при заполнении Справок государственными гражданскими служащими С.Е.Н. и В.Ю.С.   не  уважительными и рекомендовать применить к ним меру дисциплинарного воздействия в виде замечания и указав на недопустимость совершения в дальнейшем подобных нарушений.</w:t>
      </w:r>
    </w:p>
    <w:p w:rsidR="009A40E4" w:rsidRPr="00522F26" w:rsidRDefault="009A40E4" w:rsidP="00522F26">
      <w:pPr>
        <w:spacing w:line="288" w:lineRule="auto"/>
        <w:jc w:val="both"/>
        <w:rPr>
          <w:color w:val="000000"/>
          <w:szCs w:val="28"/>
        </w:rPr>
      </w:pPr>
      <w:r w:rsidRPr="00522F26">
        <w:rPr>
          <w:szCs w:val="28"/>
        </w:rPr>
        <w:t xml:space="preserve">           </w:t>
      </w:r>
      <w:proofErr w:type="gramStart"/>
      <w:r w:rsidRPr="00522F26">
        <w:rPr>
          <w:color w:val="000000"/>
          <w:szCs w:val="28"/>
        </w:rPr>
        <w:t xml:space="preserve">Решения Комиссии по даче (отказу в даче) согласия  </w:t>
      </w:r>
      <w:r w:rsidRPr="00522F26">
        <w:rPr>
          <w:szCs w:val="28"/>
        </w:rPr>
        <w:t xml:space="preserve">в соответствии с требованиями статьи 12 Федерального закона от 25 декабря 2008 г. № 273-ФЗ  «О противодействии  коррупции», на замещение должности и выполнение работ по трудовому договору: </w:t>
      </w:r>
      <w:r w:rsidRPr="00522F26">
        <w:rPr>
          <w:color w:val="000000"/>
          <w:szCs w:val="28"/>
        </w:rPr>
        <w:t>а) д</w:t>
      </w:r>
      <w:r w:rsidRPr="00522F26">
        <w:rPr>
          <w:szCs w:val="28"/>
        </w:rPr>
        <w:t xml:space="preserve">ать согласие на замещение должности техника транспортного цеха Астраханского газоперерабатывающего завода  </w:t>
      </w:r>
      <w:r w:rsidRPr="00522F26">
        <w:rPr>
          <w:color w:val="000000"/>
          <w:szCs w:val="28"/>
        </w:rPr>
        <w:t>бывшему государственному служащему Б.К.А. замещавшим должности в Управлении;</w:t>
      </w:r>
      <w:proofErr w:type="gramEnd"/>
      <w:r w:rsidRPr="00522F26">
        <w:rPr>
          <w:color w:val="000000"/>
          <w:szCs w:val="28"/>
        </w:rPr>
        <w:t xml:space="preserve"> б) д</w:t>
      </w:r>
      <w:r w:rsidRPr="00522F26">
        <w:rPr>
          <w:szCs w:val="28"/>
        </w:rPr>
        <w:t>ать согласие на замещение должности менеджера отдела продаж ООО «ИТЭ ЭКСПРЕСС ЛОГИСТИКА»</w:t>
      </w:r>
      <w:r w:rsidRPr="00522F26">
        <w:rPr>
          <w:color w:val="000000"/>
          <w:szCs w:val="28"/>
        </w:rPr>
        <w:t xml:space="preserve"> бывшему государственному служащему Б.И.С., замещавшему должность в Управлении.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комиссией;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О</w:t>
      </w:r>
      <w:r w:rsidRPr="00522F26">
        <w:rPr>
          <w:szCs w:val="28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lastRenderedPageBreak/>
        <w:t xml:space="preserve">      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</w:t>
      </w:r>
      <w:proofErr w:type="gramStart"/>
      <w:r w:rsidRPr="00522F26">
        <w:rPr>
          <w:szCs w:val="28"/>
        </w:rPr>
        <w:t xml:space="preserve">В разделе «Противодействие коррупции» актуализированы сведения, размещенные на сайте о составе Комиссии и Порядке работы Комиссии </w:t>
      </w:r>
      <w:r w:rsidRPr="00522F26">
        <w:rPr>
          <w:spacing w:val="-2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</w:t>
      </w:r>
      <w:proofErr w:type="spellStart"/>
      <w:r w:rsidRPr="00522F26">
        <w:rPr>
          <w:spacing w:val="-2"/>
          <w:szCs w:val="28"/>
        </w:rPr>
        <w:t>антикоррупционных</w:t>
      </w:r>
      <w:proofErr w:type="spellEnd"/>
      <w:r w:rsidRPr="00522F26">
        <w:rPr>
          <w:spacing w:val="-2"/>
          <w:szCs w:val="28"/>
        </w:rPr>
        <w:t xml:space="preserve"> мероприятиях. </w:t>
      </w:r>
      <w:proofErr w:type="gramEnd"/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На </w:t>
      </w:r>
      <w:proofErr w:type="spellStart"/>
      <w:proofErr w:type="gramStart"/>
      <w:r w:rsidRPr="00522F26">
        <w:rPr>
          <w:szCs w:val="28"/>
        </w:rPr>
        <w:t>Интернет-странице</w:t>
      </w:r>
      <w:proofErr w:type="spellEnd"/>
      <w:proofErr w:type="gramEnd"/>
      <w:r w:rsidRPr="00522F26">
        <w:rPr>
          <w:szCs w:val="28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B4" w:rsidRDefault="00BE2DB4" w:rsidP="00F82C4C">
      <w:r>
        <w:separator/>
      </w:r>
    </w:p>
  </w:endnote>
  <w:endnote w:type="continuationSeparator" w:id="0">
    <w:p w:rsidR="00BE2DB4" w:rsidRDefault="00BE2DB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B4" w:rsidRDefault="00BE2DB4" w:rsidP="00F82C4C">
      <w:r>
        <w:separator/>
      </w:r>
    </w:p>
  </w:footnote>
  <w:footnote w:type="continuationSeparator" w:id="0">
    <w:p w:rsidR="00BE2DB4" w:rsidRDefault="00BE2DB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FD4333">
          <w:fldChar w:fldCharType="begin"/>
        </w:r>
        <w:r>
          <w:instrText>PAGE   \* MERGEFORMAT</w:instrText>
        </w:r>
        <w:r w:rsidR="00FD4333">
          <w:fldChar w:fldCharType="separate"/>
        </w:r>
        <w:r w:rsidR="00522F26">
          <w:rPr>
            <w:noProof/>
          </w:rPr>
          <w:t>2</w:t>
        </w:r>
        <w:r w:rsidR="00FD4333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90931"/>
    <w:rsid w:val="00297C5A"/>
    <w:rsid w:val="002D0DF4"/>
    <w:rsid w:val="00365652"/>
    <w:rsid w:val="003B0652"/>
    <w:rsid w:val="004475D2"/>
    <w:rsid w:val="004A68FF"/>
    <w:rsid w:val="00522F26"/>
    <w:rsid w:val="005B4664"/>
    <w:rsid w:val="006647F1"/>
    <w:rsid w:val="006F582E"/>
    <w:rsid w:val="007F693A"/>
    <w:rsid w:val="0080082A"/>
    <w:rsid w:val="00811E70"/>
    <w:rsid w:val="009A40E4"/>
    <w:rsid w:val="009A6288"/>
    <w:rsid w:val="009A72B5"/>
    <w:rsid w:val="00A103F8"/>
    <w:rsid w:val="00AA0650"/>
    <w:rsid w:val="00AE7D79"/>
    <w:rsid w:val="00B66633"/>
    <w:rsid w:val="00BE2DB4"/>
    <w:rsid w:val="00C766F8"/>
    <w:rsid w:val="00D560A7"/>
    <w:rsid w:val="00D640AD"/>
    <w:rsid w:val="00D84BE3"/>
    <w:rsid w:val="00E6678F"/>
    <w:rsid w:val="00F36603"/>
    <w:rsid w:val="00F82C4C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FFA1942-3524-4590-A524-90C2DDE6FC1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2</cp:revision>
  <dcterms:created xsi:type="dcterms:W3CDTF">2022-01-14T06:49:00Z</dcterms:created>
  <dcterms:modified xsi:type="dcterms:W3CDTF">2022-01-14T06:50:00Z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